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0" w:rsidRDefault="00D86A10" w:rsidP="00C54481">
      <w:pPr>
        <w:jc w:val="both"/>
      </w:pPr>
      <w:r>
        <w:t>Szanowni Państwo,</w:t>
      </w:r>
    </w:p>
    <w:p w:rsidR="00D86A10" w:rsidRDefault="00D86A10" w:rsidP="00C54481">
      <w:pPr>
        <w:jc w:val="both"/>
      </w:pPr>
      <w:r>
        <w:t>w związku ze zgłaszanymi przez Mazowiecki Związek Piłki Nożnej wątpliwościami w zakresie stosowania postanowień § 2 ust. 7  Uchwały nr IX/140 z dnia 3 i 7 lipca 2008 roku Zarządu Polskiego Związku Piłki Nożnej w sprawie organizacji rozgrywek w piłkę nożną i wynikających z nich zasad udziału zawodników w meczach różnych drużyn tego samego klubu, Departament Piłkarstwa Profesjonalnego PZPN wyjaśnia co następuje.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</w:pPr>
      <w:r>
        <w:t>Na wstępie pragniemy zaznaczyć, że wiążącej interpretacji postanowień wskazanej wyżej uchwały może dokonać wyłącznie Zarząd PZPN, toteż niniejsza korespondencja winna być traktowana jedynie jako opinia tut. Departamentu w poruszonej sprawie.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</w:pPr>
      <w:r>
        <w:t>Zgodnie z powołanym przepisem: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>W rozgrywkach mistrzowskich w danej klasie rozgrywkowej może brać udział tylko jedna drużyna tego samego klubu, z zastrzeżeniem, że w rozgrywkach dzieci i młodzieży dziewcząt i chłopców właściwe Wojewódzkie Związki Piłki Nożnej mogą podjąć decyzję o możliwości udziału większej liczby drużyn tego samego klubu.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>W sytuacji udziału w jednych rozgrywkach, prowadzonych systemem jesień/wiosna, dwóch lub więcej drużyn tego samego klubu, zawodnik może w jednym sezonie uczestniczyć w rozgrywkach tylko jednej drużyny danego klubu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>W sytuacji udziału w jednych rozgrywkach, prowadzonych systemem jednorundowym zamkniętym tj. tylko w rundzie jesiennej lub tylko w rundzie wiosennej, dwóch lub więcej drużyn tego samego klubu, zawodnik może w jednej rundzie uczestniczyć w rozgrywkach tylko jednej drużyny danego klubu.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>(…)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</w:pPr>
      <w:r>
        <w:t xml:space="preserve">W przypadku rozgrywek dzieci i młodzieży, można założyć zaistnienie przynajmniej trzech możliwości: </w:t>
      </w:r>
    </w:p>
    <w:p w:rsidR="00D86A10" w:rsidRDefault="00D86A10" w:rsidP="00C54481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Dwie drużyny tego samego klubu uczestniczą w tej samej klasie rozgrywkowej, na tym samym poziomie i w tej samej grupie np. Liga Okręgowa Trampkarza, grupa A;</w:t>
      </w:r>
    </w:p>
    <w:p w:rsidR="00D86A10" w:rsidRDefault="00D86A10" w:rsidP="00C54481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Dwie drużyny tego samego klubu uczestniczą w różnych klasach rozgrywkowych np. jedna w lidze okręgowej trampkarza a druga w lidze wojewódzkiej trampkarza;</w:t>
      </w:r>
    </w:p>
    <w:p w:rsidR="00D86A10" w:rsidRDefault="00D86A10" w:rsidP="00C54481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Dwie Drużyny tego samego Klubu uczestniczą w tej samej klasie rozgrywkowej, na tym samym poziomie ale w różnych grupach np. liga okręgowa trampkarza, grupa A i B.</w:t>
      </w:r>
    </w:p>
    <w:p w:rsidR="00D86A10" w:rsidRDefault="00D86A10" w:rsidP="00C54481">
      <w:pPr>
        <w:jc w:val="both"/>
      </w:pPr>
      <w:r>
        <w:t>Ad. 1</w:t>
      </w:r>
    </w:p>
    <w:p w:rsidR="00D86A10" w:rsidRDefault="00D86A10" w:rsidP="00C54481">
      <w:pPr>
        <w:jc w:val="both"/>
      </w:pPr>
      <w:r>
        <w:t>Ten przypadek jest regulowany wprost przez wskazane wyżej postanowienia uchwały – w sytuacji występu zawodnika, odpowiednio w sezonie lub danej rundzie, w meczu jednej drużyny klubu, nie może on już wystąpić w meczu innej drużyny tego samego klubu uczestniczącej w tych samych rozgrywkach.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</w:pPr>
      <w:r>
        <w:t xml:space="preserve">Ad. 2 </w:t>
      </w:r>
    </w:p>
    <w:p w:rsidR="00D86A10" w:rsidRDefault="00D86A10" w:rsidP="00C54481">
      <w:pPr>
        <w:jc w:val="both"/>
      </w:pPr>
      <w:r>
        <w:t>Ten przypadek dotyczy różnych rozgrywek w których uczestniczą różne drużyny tego samego klubu, więc omawiane postanowienia uchwały z zakresu udziału zawodników w meczach różnych drużyn tego samego klubu uczestniczących w tych samych rozgrywkach nie mają zastosowania.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</w:pPr>
      <w:r>
        <w:t>Ad. 3</w:t>
      </w:r>
    </w:p>
    <w:p w:rsidR="00D86A10" w:rsidRDefault="00D86A10" w:rsidP="00C54481">
      <w:pPr>
        <w:jc w:val="both"/>
      </w:pPr>
      <w:r>
        <w:t>W opinii tut. Departamentu, w sytuacji gdy właściwy Wojewódzki Związek piłki Nożnej podejmuje decyzję w zakresie możliwości udziału różnych drużyn tego samego klubu w jednych rozgrywkach dzieci i młodzieży, winien on jednoznacznie określić, w trakcie ustanawiania szczegółowych zasad prowadzonych przez siebie rozgrywek np. w odpowiednim regulaminie, czy rozgrywki w poszczególnych grupach prowadzonych w ramach jednej klasy rozgrywkowej należy traktować jako odrębne względem siebie czy jako te same rozgrywki.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</w:pPr>
      <w:r>
        <w:lastRenderedPageBreak/>
        <w:t>Niezależnie od powyższego, w odniesieniu do zawodnika uczestniczącego w meczach różnych drużyn tego samego klubu wciąż aktualne pozostają postanowienia § 4 ust. 1 Uchwały: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 xml:space="preserve">O ile w przepisach szczególnych nie postanowiono inaczej, Klub posiadający drużyny w kilku klasach rozgrywkowych może wystawić swoich zawodników do gry zgodnie z następującymi zasadami: 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 xml:space="preserve">a) Jeżeli zawodnik, brał udział w spotkaniu mistrzowskim lub pucharowym w wymiarze nieprzekraczającym połowy czasu gry, może uczestniczyć w spotkaniu innej drużyny swego klubu, które rozpoczyna się do 48 godzin po zakończeniu pierwszego meczu, w pełnym wymiarze czasu gry (przepis ten nie dotyczy zawodników występujących na pozycji bramkarza); 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>b) Udział zawodnika w meczu, w którym zgodnie z postanowieniami regulaminu rozgrywek obowiązuje system zmian powrotnych, będzie traktowany jako udział w meczu w wymiarze nieprzekraczającym połowy czasu gry;</w:t>
      </w:r>
    </w:p>
    <w:p w:rsidR="00D86A10" w:rsidRDefault="00D86A10" w:rsidP="00C54481">
      <w:pPr>
        <w:jc w:val="both"/>
        <w:rPr>
          <w:i/>
          <w:iCs/>
        </w:rPr>
      </w:pPr>
      <w:r>
        <w:rPr>
          <w:i/>
          <w:iCs/>
        </w:rPr>
        <w:t>c) Jeżeli zawodnik brał udział w spotkaniu mistrzowskim lub pucharowym w wymiarze przekraczającym połowę czasu gry może wystąpić w kolejnym spotkaniu innej drużyny swego klubu, dopiero po upływie 48 godzin od zakończenia tego meczu (przepis ten nie dotyczy zawodników występujących na pozycji bramkarza);</w:t>
      </w:r>
    </w:p>
    <w:p w:rsidR="00D86A10" w:rsidRDefault="00D86A10" w:rsidP="00C54481">
      <w:pPr>
        <w:jc w:val="both"/>
      </w:pPr>
    </w:p>
    <w:p w:rsidR="00D86A10" w:rsidRDefault="00D86A10" w:rsidP="00C54481">
      <w:pPr>
        <w:jc w:val="both"/>
        <w:rPr>
          <w:rFonts w:ascii="Trebuchet MS" w:hAnsi="Trebuchet MS"/>
          <w:color w:val="7F7F7F"/>
          <w:sz w:val="18"/>
          <w:szCs w:val="18"/>
          <w:lang w:eastAsia="pl-PL"/>
        </w:rPr>
      </w:pPr>
      <w:r>
        <w:rPr>
          <w:rFonts w:ascii="Trebuchet MS" w:hAnsi="Trebuchet MS"/>
          <w:b/>
          <w:bCs/>
          <w:color w:val="7F7F7F"/>
          <w:sz w:val="18"/>
          <w:szCs w:val="18"/>
          <w:lang w:eastAsia="pl-PL"/>
        </w:rPr>
        <w:br/>
      </w:r>
      <w:r>
        <w:rPr>
          <w:rFonts w:ascii="Trebuchet MS" w:hAnsi="Trebuchet MS"/>
          <w:color w:val="7F7F7F"/>
          <w:sz w:val="18"/>
          <w:szCs w:val="18"/>
          <w:lang w:eastAsia="pl-PL"/>
        </w:rPr>
        <w:t>Departament Piłkarstwa Profesjonalnego</w:t>
      </w:r>
    </w:p>
    <w:p w:rsidR="00D86A10" w:rsidRDefault="00D86A10" w:rsidP="00C54481">
      <w:pPr>
        <w:jc w:val="both"/>
        <w:rPr>
          <w:rFonts w:ascii="Trebuchet MS" w:hAnsi="Trebuchet MS"/>
          <w:color w:val="7F7F7F"/>
          <w:sz w:val="18"/>
          <w:szCs w:val="18"/>
          <w:lang w:eastAsia="pl-PL"/>
        </w:rPr>
      </w:pPr>
      <w:r>
        <w:rPr>
          <w:rFonts w:ascii="Trebuchet MS" w:hAnsi="Trebuchet MS"/>
          <w:color w:val="7F7F7F"/>
          <w:sz w:val="18"/>
          <w:szCs w:val="18"/>
          <w:lang w:eastAsia="pl-PL"/>
        </w:rPr>
        <w:t>Professional Football Department</w:t>
      </w:r>
    </w:p>
    <w:p w:rsidR="00D61EE3" w:rsidRDefault="00D61EE3" w:rsidP="00C54481">
      <w:pPr>
        <w:jc w:val="both"/>
      </w:pPr>
      <w:bookmarkStart w:id="0" w:name="_GoBack"/>
      <w:bookmarkEnd w:id="0"/>
    </w:p>
    <w:sectPr w:rsidR="00D61EE3" w:rsidSect="008B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8E4"/>
    <w:multiLevelType w:val="hybridMultilevel"/>
    <w:tmpl w:val="0D9C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A10"/>
    <w:rsid w:val="008B0787"/>
    <w:rsid w:val="00C54481"/>
    <w:rsid w:val="00D61EE3"/>
    <w:rsid w:val="00D86A10"/>
    <w:rsid w:val="00F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3844</Characters>
  <Application>Microsoft Office Word</Application>
  <DocSecurity>0</DocSecurity>
  <Lines>32</Lines>
  <Paragraphs>8</Paragraphs>
  <ScaleCrop>false</ScaleCrop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</dc:creator>
  <cp:lastModifiedBy>Łukasz</cp:lastModifiedBy>
  <cp:revision>2</cp:revision>
  <dcterms:created xsi:type="dcterms:W3CDTF">2021-11-24T11:59:00Z</dcterms:created>
  <dcterms:modified xsi:type="dcterms:W3CDTF">2021-11-24T11:59:00Z</dcterms:modified>
</cp:coreProperties>
</file>